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F513" w14:textId="77777777" w:rsidR="00AD538B" w:rsidRDefault="00AD538B" w:rsidP="00AD53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719">
        <w:rPr>
          <w:rFonts w:ascii="Times New Roman" w:hAnsi="Times New Roman" w:cs="Times New Roman"/>
          <w:b/>
          <w:bCs/>
          <w:sz w:val="24"/>
          <w:szCs w:val="24"/>
        </w:rPr>
        <w:t>Lisa. Andmete koond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2C6EC2" w14:textId="77777777" w:rsidR="00250FD2" w:rsidRPr="006E452E" w:rsidRDefault="00250FD2" w:rsidP="00AD538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2"/>
        <w:gridCol w:w="1701"/>
        <w:gridCol w:w="1842"/>
        <w:gridCol w:w="1696"/>
      </w:tblGrid>
      <w:tr w:rsidR="00AD538B" w:rsidRPr="001C3719" w14:paraId="58F3E8ED" w14:textId="77777777" w:rsidTr="00595418">
        <w:tc>
          <w:tcPr>
            <w:tcW w:w="3822" w:type="dxa"/>
          </w:tcPr>
          <w:p w14:paraId="62F7D0F6" w14:textId="77777777" w:rsidR="00AD538B" w:rsidRPr="001C3719" w:rsidRDefault="00AD538B" w:rsidP="00595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85F55" w14:textId="77777777" w:rsidR="00AD538B" w:rsidRPr="001C3719" w:rsidRDefault="00AD538B" w:rsidP="00595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Maksumus </w:t>
            </w:r>
            <w:r w:rsidRPr="001C3719"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1842" w:type="dxa"/>
          </w:tcPr>
          <w:p w14:paraId="3A0E2449" w14:textId="77777777" w:rsidR="00AD538B" w:rsidRPr="001C3719" w:rsidRDefault="00AD538B" w:rsidP="00595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Protsent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371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696" w:type="dxa"/>
          </w:tcPr>
          <w:p w14:paraId="4B92C748" w14:textId="77777777" w:rsidR="00AD538B" w:rsidRPr="001C3719" w:rsidRDefault="00AD538B" w:rsidP="005954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Ühik </w:t>
            </w:r>
            <w:r w:rsidRPr="001C3719">
              <w:rPr>
                <w:rFonts w:ascii="Times New Roman" w:hAnsi="Times New Roman" w:cs="Times New Roman"/>
                <w:sz w:val="24"/>
                <w:szCs w:val="24"/>
              </w:rPr>
              <w:t>(tk)</w:t>
            </w:r>
          </w:p>
        </w:tc>
      </w:tr>
      <w:tr w:rsidR="00AD538B" w:rsidRPr="00207409" w14:paraId="22AA4FA9" w14:textId="77777777" w:rsidTr="00595418">
        <w:tc>
          <w:tcPr>
            <w:tcW w:w="3822" w:type="dxa"/>
          </w:tcPr>
          <w:p w14:paraId="203BA8C9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Riigihangetega tegelevate töötavate töötajate arv kokku (2023.a).</w:t>
            </w:r>
          </w:p>
        </w:tc>
        <w:tc>
          <w:tcPr>
            <w:tcW w:w="1701" w:type="dxa"/>
          </w:tcPr>
          <w:p w14:paraId="2BC6F4F2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AFBE29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31EE0FF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:rsidRPr="00207409" w14:paraId="1BFBB5E6" w14:textId="77777777" w:rsidTr="00595418">
        <w:tc>
          <w:tcPr>
            <w:tcW w:w="3822" w:type="dxa"/>
          </w:tcPr>
          <w:p w14:paraId="7ABEC2A2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Riigihangetega tegelevate töötavate töötajate palgakulu 2023.a kokku </w:t>
            </w:r>
            <w:r w:rsidRPr="001C3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(eur)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33DC28E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14:paraId="735D853E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5CD9C8D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8B" w:rsidRPr="00207409" w14:paraId="2FFD1E5E" w14:textId="77777777" w:rsidTr="00595418">
        <w:tc>
          <w:tcPr>
            <w:tcW w:w="3822" w:type="dxa"/>
          </w:tcPr>
          <w:p w14:paraId="227E08E1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RHRs 2023.a läbiviidud riigihangete arv kokku </w:t>
            </w:r>
            <w:r w:rsidRPr="008A68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(tk)</w:t>
            </w:r>
          </w:p>
        </w:tc>
        <w:tc>
          <w:tcPr>
            <w:tcW w:w="1701" w:type="dxa"/>
          </w:tcPr>
          <w:p w14:paraId="58276EC9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D2070F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365B5D2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:rsidRPr="00207409" w14:paraId="720C1A85" w14:textId="77777777" w:rsidTr="00595418">
        <w:tc>
          <w:tcPr>
            <w:tcW w:w="3822" w:type="dxa"/>
          </w:tcPr>
          <w:p w14:paraId="1C82D744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Ühe riigihanke maksumus 2023.a </w:t>
            </w:r>
            <w:r w:rsidRPr="00207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(eur)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288FA62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14:paraId="3BFA61A9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F8164FE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8B" w:rsidRPr="00207409" w14:paraId="5DF1AAD9" w14:textId="77777777" w:rsidTr="00595418">
        <w:tc>
          <w:tcPr>
            <w:tcW w:w="3822" w:type="dxa"/>
          </w:tcPr>
          <w:p w14:paraId="55624DA3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Riigihanked, mida on võimalik lihtsalt üle anda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ehk „roheline“ </w:t>
            </w:r>
            <w:r w:rsidRPr="00207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(arv ja % viimase kolme aasta hankemahust)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4940A7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29BA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7CFE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92ED7F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49ADF714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31ECA138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:rsidRPr="00207409" w14:paraId="5D79C9E9" w14:textId="77777777" w:rsidTr="00595418">
        <w:tc>
          <w:tcPr>
            <w:tcW w:w="3822" w:type="dxa"/>
          </w:tcPr>
          <w:p w14:paraId="1B3427F1" w14:textId="77777777" w:rsidR="00AD538B" w:rsidRPr="00207409" w:rsidRDefault="00AD538B" w:rsidP="0059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Riigihanked,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mida on veidi keerulisem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ehk „kollane“ (</w:t>
            </w:r>
            <w:r w:rsidRPr="00207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arv ja % viimase kolme aasta hankemahust)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ED0B9D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E34F51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6" w:type="dxa"/>
          </w:tcPr>
          <w:p w14:paraId="5566A2A0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:rsidRPr="00207409" w14:paraId="34A4E2C7" w14:textId="77777777" w:rsidTr="00595418">
        <w:tc>
          <w:tcPr>
            <w:tcW w:w="3822" w:type="dxa"/>
          </w:tcPr>
          <w:p w14:paraId="2443DE2A" w14:textId="77777777" w:rsidR="00AD538B" w:rsidRPr="000629A5" w:rsidRDefault="00AD538B" w:rsidP="0059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Riigihanked,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mida on liiga riskantne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üle anda ehk „punane“ (</w:t>
            </w:r>
            <w:r w:rsidRPr="00207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arv ja % viimase kolme aasta hankemahust)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AAEC806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3C750E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6" w:type="dxa"/>
          </w:tcPr>
          <w:p w14:paraId="706382FC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:rsidRPr="00207409" w14:paraId="33C980AD" w14:textId="77777777" w:rsidTr="00595418">
        <w:tc>
          <w:tcPr>
            <w:tcW w:w="3822" w:type="dxa"/>
          </w:tcPr>
          <w:p w14:paraId="349CAF0E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Kui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palju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>väheneks personalikulu (</w:t>
            </w:r>
            <w:r w:rsidRPr="00207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töötajate arv ja kogukulu)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juhul, kui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„rohelisega“ märgitud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>riigihangete korraldamine antakse üle RTKle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(RTKle makstavat tasu arvesse võtmata)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9F47FDA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14:paraId="33D9D13F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6" w:type="dxa"/>
          </w:tcPr>
          <w:p w14:paraId="463D2BE3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:rsidRPr="00207409" w14:paraId="79E80101" w14:textId="77777777" w:rsidTr="00595418">
        <w:tc>
          <w:tcPr>
            <w:tcW w:w="3822" w:type="dxa"/>
          </w:tcPr>
          <w:p w14:paraId="2DCD2511" w14:textId="175F5DD4" w:rsidR="00AD538B" w:rsidRDefault="00AD538B" w:rsidP="005954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Kui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palju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>väheneks personalikulu (</w:t>
            </w:r>
            <w:r w:rsidRPr="00207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töötajate arv ja kogukulu)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juhul, kui </w:t>
            </w:r>
            <w:r w:rsidR="008A76B5">
              <w:rPr>
                <w:rFonts w:ascii="Times New Roman" w:hAnsi="Times New Roman" w:cs="Times New Roman"/>
                <w:sz w:val="24"/>
                <w:szCs w:val="24"/>
              </w:rPr>
              <w:t xml:space="preserve">hüpoteetiliselt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kõikide RHRs läbiviidavate riigihangete korraldamine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antakse üle 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>RTKle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(RTKle makstavat tasu arvesse võtmata)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45A4530" w14:textId="77777777" w:rsidR="00E52163" w:rsidRPr="00E52163" w:rsidRDefault="00E52163" w:rsidP="00E5216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D2233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842" w:type="dxa"/>
          </w:tcPr>
          <w:p w14:paraId="46B5B73F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6" w:type="dxa"/>
          </w:tcPr>
          <w:p w14:paraId="4443D8FB" w14:textId="77777777" w:rsidR="00AD538B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:rsidRPr="00207409" w14:paraId="6F27FF82" w14:textId="77777777" w:rsidTr="00595418">
        <w:tc>
          <w:tcPr>
            <w:tcW w:w="3822" w:type="dxa"/>
          </w:tcPr>
          <w:p w14:paraId="547B6BD0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Viimasel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kolme aasta (2021-2023.a)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>väikeostude  arv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DE3EC7F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4871F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6" w:type="dxa"/>
          </w:tcPr>
          <w:p w14:paraId="7EF098EF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:rsidRPr="00207409" w14:paraId="1CA6FD9D" w14:textId="77777777" w:rsidTr="00595418">
        <w:tc>
          <w:tcPr>
            <w:tcW w:w="3822" w:type="dxa"/>
          </w:tcPr>
          <w:p w14:paraId="6C8213A3" w14:textId="1B453C95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 xml:space="preserve">Viimasel kolme aasta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(2021-2023.a) </w:t>
            </w:r>
            <w:r w:rsidR="008A76B5">
              <w:rPr>
                <w:rFonts w:ascii="Times New Roman" w:hAnsi="Times New Roman" w:cs="Times New Roman"/>
                <w:sz w:val="24"/>
                <w:szCs w:val="24"/>
              </w:rPr>
              <w:t xml:space="preserve">riigihanke </w:t>
            </w:r>
            <w:r w:rsidRPr="00207409">
              <w:rPr>
                <w:rFonts w:ascii="Times New Roman" w:hAnsi="Times New Roman" w:cs="Times New Roman"/>
                <w:sz w:val="24"/>
                <w:szCs w:val="24"/>
              </w:rPr>
              <w:t>erandite arv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5384654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EEF6EE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6" w:type="dxa"/>
          </w:tcPr>
          <w:p w14:paraId="6C83F04F" w14:textId="77777777" w:rsidR="00AD538B" w:rsidRPr="00207409" w:rsidRDefault="00AD538B" w:rsidP="0059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D538B" w14:paraId="3C8966DC" w14:textId="77777777" w:rsidTr="00595418">
        <w:tc>
          <w:tcPr>
            <w:tcW w:w="5523" w:type="dxa"/>
            <w:gridSpan w:val="2"/>
          </w:tcPr>
          <w:p w14:paraId="4D5C2DB3" w14:textId="77777777" w:rsidR="00AD538B" w:rsidRDefault="00AD538B" w:rsidP="0059541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350EAF">
              <w:rPr>
                <w:rFonts w:ascii="Times New Roman" w:hAnsi="Times New Roman" w:cs="Times New Roman"/>
                <w:sz w:val="24"/>
                <w:szCs w:val="24"/>
              </w:rPr>
              <w:t>lesanded, mis on hanke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üksuste </w:t>
            </w:r>
            <w:r w:rsidRPr="00350EAF">
              <w:rPr>
                <w:rFonts w:ascii="Times New Roman" w:hAnsi="Times New Roman" w:cs="Times New Roman"/>
                <w:sz w:val="24"/>
                <w:szCs w:val="24"/>
              </w:rPr>
              <w:t>laual ja mida ei ole võimalik RTKle üle anda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või mis ei ole RTK standardmudelis kaetud</w:t>
            </w:r>
            <w:r w:rsidRPr="00350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</w:tcPr>
          <w:p w14:paraId="645218AC" w14:textId="77777777" w:rsidR="00AD538B" w:rsidRDefault="00AD538B" w:rsidP="00595418"/>
        </w:tc>
      </w:tr>
      <w:tr w:rsidR="00AD538B" w14:paraId="021A94A3" w14:textId="77777777" w:rsidTr="00595418">
        <w:tc>
          <w:tcPr>
            <w:tcW w:w="5523" w:type="dxa"/>
            <w:gridSpan w:val="2"/>
          </w:tcPr>
          <w:p w14:paraId="7E3BE0BB" w14:textId="77777777" w:rsidR="00AD538B" w:rsidRDefault="00AD538B" w:rsidP="0059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Hangete RTKle üleandmise </w:t>
            </w:r>
            <w:r w:rsidRPr="00350EAF">
              <w:rPr>
                <w:rFonts w:ascii="Times New Roman" w:hAnsi="Times New Roman" w:cs="Times New Roman"/>
                <w:sz w:val="24"/>
                <w:szCs w:val="24"/>
              </w:rPr>
              <w:t>eelis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 koos</w:t>
            </w:r>
            <w:r w:rsidRPr="00350EAF">
              <w:rPr>
                <w:rFonts w:ascii="Times New Roman" w:hAnsi="Times New Roman" w:cs="Times New Roman"/>
                <w:sz w:val="24"/>
                <w:szCs w:val="24"/>
              </w:rPr>
              <w:t xml:space="preserve"> võimaliku mõjuga asutuste põhitegevusele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</w:tcPr>
          <w:p w14:paraId="5A296BD4" w14:textId="77777777" w:rsidR="00AD538B" w:rsidRDefault="00AD538B" w:rsidP="00595418"/>
        </w:tc>
      </w:tr>
      <w:tr w:rsidR="00AD538B" w14:paraId="7D251D85" w14:textId="77777777" w:rsidTr="00595418">
        <w:tc>
          <w:tcPr>
            <w:tcW w:w="5523" w:type="dxa"/>
            <w:gridSpan w:val="2"/>
          </w:tcPr>
          <w:p w14:paraId="50C4E4EA" w14:textId="77777777" w:rsidR="00AD538B" w:rsidRPr="00350EAF" w:rsidRDefault="00AD538B" w:rsidP="0059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Hangete RTKle üleandmise riskid koos </w:t>
            </w:r>
            <w:r w:rsidRPr="00350EAF">
              <w:rPr>
                <w:rFonts w:ascii="Times New Roman" w:hAnsi="Times New Roman" w:cs="Times New Roman"/>
                <w:sz w:val="24"/>
                <w:szCs w:val="24"/>
              </w:rPr>
              <w:t>võimaliku mõjuga asutuste põhitegevusele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</w:tcPr>
          <w:p w14:paraId="2C8ECB97" w14:textId="77777777" w:rsidR="00AD538B" w:rsidRDefault="00AD538B" w:rsidP="00595418"/>
        </w:tc>
      </w:tr>
      <w:tr w:rsidR="00AD538B" w14:paraId="6AA05F93" w14:textId="77777777" w:rsidTr="00595418">
        <w:tc>
          <w:tcPr>
            <w:tcW w:w="5523" w:type="dxa"/>
            <w:gridSpan w:val="2"/>
          </w:tcPr>
          <w:p w14:paraId="13EA63F7" w14:textId="77777777" w:rsidR="00AD538B" w:rsidRPr="00350EAF" w:rsidRDefault="00AD538B" w:rsidP="0059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Alternatiivsed e</w:t>
            </w:r>
            <w:r w:rsidRPr="00350EAF">
              <w:rPr>
                <w:rFonts w:ascii="Times New Roman" w:hAnsi="Times New Roman" w:cs="Times New Roman"/>
                <w:sz w:val="24"/>
                <w:szCs w:val="24"/>
              </w:rPr>
              <w:t>ttepanekud riigihangete konsolideerimisvajaduse ja -võimaluste kohta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</w:tcPr>
          <w:p w14:paraId="2209BCE5" w14:textId="77777777" w:rsidR="00AD538B" w:rsidRDefault="00AD538B" w:rsidP="00595418"/>
        </w:tc>
      </w:tr>
      <w:tr w:rsidR="00AD538B" w14:paraId="3B97BF4B" w14:textId="77777777" w:rsidTr="00595418">
        <w:tc>
          <w:tcPr>
            <w:tcW w:w="5523" w:type="dxa"/>
            <w:gridSpan w:val="2"/>
          </w:tcPr>
          <w:p w14:paraId="257F880F" w14:textId="77777777" w:rsidR="00AD538B" w:rsidRPr="00955DF5" w:rsidRDefault="00AD538B" w:rsidP="00595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F5">
              <w:rPr>
                <w:rFonts w:ascii="Times New Roman" w:hAnsi="Times New Roman" w:cs="Times New Roman"/>
                <w:sz w:val="24"/>
                <w:szCs w:val="24"/>
              </w:rPr>
              <w:t xml:space="preserve">Detsentraliseeritud hankesüsteemi eelised teie asutuse vaates. </w:t>
            </w:r>
          </w:p>
        </w:tc>
        <w:tc>
          <w:tcPr>
            <w:tcW w:w="3538" w:type="dxa"/>
            <w:gridSpan w:val="2"/>
          </w:tcPr>
          <w:p w14:paraId="28937261" w14:textId="77777777" w:rsidR="00AD538B" w:rsidRDefault="00AD538B" w:rsidP="00595418"/>
        </w:tc>
      </w:tr>
    </w:tbl>
    <w:p w14:paraId="479261BC" w14:textId="77777777" w:rsidR="00AD538B" w:rsidRDefault="00AD538B" w:rsidP="00AD53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C39B2" w14:textId="77777777" w:rsidR="00AD538B" w:rsidRDefault="00AD538B" w:rsidP="00AD5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Eeltoodud tabelile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palume lisada: </w:t>
      </w:r>
    </w:p>
    <w:p w14:paraId="30FE37AF" w14:textId="77777777" w:rsidR="00AD538B" w:rsidRPr="00350EAF" w:rsidRDefault="00AD538B" w:rsidP="00AD53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EAF">
        <w:rPr>
          <w:rFonts w:ascii="Times New Roman" w:hAnsi="Times New Roman" w:cs="Times New Roman"/>
          <w:sz w:val="24"/>
          <w:szCs w:val="24"/>
        </w:rPr>
        <w:t>Sisuline arvamus asutuse riigihangete RTK-le üleandmise võimalikkuse kohta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AFC22" w14:textId="77777777" w:rsidR="00AD538B" w:rsidRDefault="00AD538B" w:rsidP="00AD53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Ühe riigihanke maksumus (kulumudel koos arvutuskäiguga).</w:t>
      </w:r>
    </w:p>
    <w:p w14:paraId="719769BC" w14:textId="77777777" w:rsidR="00AD538B" w:rsidRPr="001C3719" w:rsidRDefault="00AD538B" w:rsidP="00AD538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2021-2023.a </w:t>
      </w:r>
      <w:r w:rsidRPr="001C3719">
        <w:rPr>
          <w:rFonts w:ascii="Times New Roman" w:hAnsi="Times New Roman" w:cs="Times New Roman"/>
          <w:sz w:val="24"/>
          <w:szCs w:val="24"/>
        </w:rPr>
        <w:t>riigihan</w:t>
      </w:r>
      <w:r>
        <w:rPr>
          <w:rFonts w:ascii="Times New Roman" w:hAnsi="Times New Roman" w:cs="Times New Roman"/>
          <w:sz w:val="24"/>
          <w:szCs w:val="24"/>
        </w:rPr>
        <w:t xml:space="preserve">ked </w:t>
      </w:r>
      <w:r w:rsidRPr="001C3719">
        <w:rPr>
          <w:rFonts w:ascii="Times New Roman" w:hAnsi="Times New Roman" w:cs="Times New Roman"/>
          <w:sz w:val="24"/>
          <w:szCs w:val="24"/>
        </w:rPr>
        <w:t xml:space="preserve">(Excel, milles on hanked kolme kategooriasse </w:t>
      </w:r>
      <w:r>
        <w:rPr>
          <w:rFonts w:ascii="Times New Roman" w:hAnsi="Times New Roman" w:cs="Times New Roman"/>
          <w:sz w:val="24"/>
          <w:szCs w:val="24"/>
        </w:rPr>
        <w:t>jaotatud „roheline“, „kollane“, „punane“</w:t>
      </w:r>
      <w:r w:rsidRPr="001C3719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„Punaste“ ja „kollaste“ hange juurde lisage ka lühike põhjendus, miks neid riigihankeid üle anda ei ole võimalik. </w:t>
      </w:r>
    </w:p>
    <w:p w14:paraId="58C032C7" w14:textId="77777777" w:rsidR="00AD538B" w:rsidRPr="004547E0" w:rsidRDefault="00AD538B" w:rsidP="00AD5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CCE46" w14:textId="77777777" w:rsidR="00E243A4" w:rsidRDefault="00E243A4"/>
    <w:sectPr w:rsidR="00E243A4" w:rsidSect="0094539D">
      <w:headerReference w:type="default" r:id="rId7"/>
      <w:footerReference w:type="default" r:id="rId8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E2D6" w14:textId="77777777" w:rsidR="00AD538B" w:rsidRDefault="00AD538B" w:rsidP="00AD538B">
      <w:pPr>
        <w:spacing w:after="0" w:line="240" w:lineRule="auto"/>
      </w:pPr>
      <w:r>
        <w:separator/>
      </w:r>
    </w:p>
  </w:endnote>
  <w:endnote w:type="continuationSeparator" w:id="0">
    <w:p w14:paraId="37676CD2" w14:textId="77777777" w:rsidR="00AD538B" w:rsidRDefault="00AD538B" w:rsidP="00AD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183C" w14:textId="77777777" w:rsidR="00495FD0" w:rsidRPr="0094539D" w:rsidRDefault="00AD538B" w:rsidP="00FE1F1A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B6F2" w14:textId="77777777" w:rsidR="00AD538B" w:rsidRDefault="00AD538B" w:rsidP="00AD538B">
      <w:pPr>
        <w:spacing w:after="0" w:line="240" w:lineRule="auto"/>
      </w:pPr>
      <w:r>
        <w:separator/>
      </w:r>
    </w:p>
  </w:footnote>
  <w:footnote w:type="continuationSeparator" w:id="0">
    <w:p w14:paraId="614D81E4" w14:textId="77777777" w:rsidR="00AD538B" w:rsidRDefault="00AD538B" w:rsidP="00AD538B">
      <w:pPr>
        <w:spacing w:after="0" w:line="240" w:lineRule="auto"/>
      </w:pPr>
      <w:r>
        <w:continuationSeparator/>
      </w:r>
    </w:p>
  </w:footnote>
  <w:footnote w:id="1">
    <w:p w14:paraId="6068E245" w14:textId="77777777" w:rsidR="00AD538B" w:rsidRPr="006103AD" w:rsidRDefault="00AD538B" w:rsidP="00AD538B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6103A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abeli näol on t</w:t>
      </w:r>
      <w:r w:rsidRPr="006103AD">
        <w:rPr>
          <w:rFonts w:ascii="Times New Roman" w:hAnsi="Times New Roman" w:cs="Times New Roman"/>
        </w:rPr>
        <w:t>egemist näidisvormiga</w:t>
      </w:r>
      <w:r>
        <w:rPr>
          <w:rFonts w:ascii="Times New Roman" w:hAnsi="Times New Roman" w:cs="Times New Roman"/>
        </w:rPr>
        <w:t>, milles toodud andmete esitamine on küll kohustuslik, kuid tabeli vorm ise on vaba ehk a</w:t>
      </w:r>
      <w:r w:rsidRPr="006103AD">
        <w:rPr>
          <w:rFonts w:ascii="Times New Roman" w:hAnsi="Times New Roman" w:cs="Times New Roman"/>
        </w:rPr>
        <w:t>ndmeid võib</w:t>
      </w:r>
      <w:r>
        <w:rPr>
          <w:rFonts w:ascii="Times New Roman" w:hAnsi="Times New Roman" w:cs="Times New Roman"/>
        </w:rPr>
        <w:t xml:space="preserve"> soovi korral</w:t>
      </w:r>
      <w:r w:rsidRPr="006103AD">
        <w:rPr>
          <w:rFonts w:ascii="Times New Roman" w:hAnsi="Times New Roman" w:cs="Times New Roman"/>
        </w:rPr>
        <w:t xml:space="preserve"> esitada ka Excelis</w:t>
      </w:r>
      <w:r>
        <w:rPr>
          <w:rFonts w:ascii="Times New Roman" w:hAnsi="Times New Roman" w:cs="Times New Roman"/>
        </w:rPr>
        <w:t xml:space="preserve"> ning </w:t>
      </w:r>
      <w:r w:rsidRPr="006103AD">
        <w:rPr>
          <w:rFonts w:ascii="Times New Roman" w:hAnsi="Times New Roman" w:cs="Times New Roman"/>
        </w:rPr>
        <w:t xml:space="preserve">teksti </w:t>
      </w:r>
      <w:r>
        <w:rPr>
          <w:rFonts w:ascii="Times New Roman" w:hAnsi="Times New Roman" w:cs="Times New Roman"/>
        </w:rPr>
        <w:t xml:space="preserve">osa </w:t>
      </w:r>
      <w:r w:rsidRPr="006103AD">
        <w:rPr>
          <w:rFonts w:ascii="Times New Roman" w:hAnsi="Times New Roman" w:cs="Times New Roman"/>
        </w:rPr>
        <w:t xml:space="preserve">väljaspool tabelit. </w:t>
      </w:r>
    </w:p>
    <w:p w14:paraId="32BD5313" w14:textId="77777777" w:rsidR="00AD538B" w:rsidRDefault="00AD538B" w:rsidP="00AD538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C9DC" w14:textId="77777777" w:rsidR="00FE1F1A" w:rsidRPr="00FE1F1A" w:rsidRDefault="008A76B5" w:rsidP="00FE1F1A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4AC"/>
    <w:multiLevelType w:val="hybridMultilevel"/>
    <w:tmpl w:val="CB4CCB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752EF"/>
    <w:multiLevelType w:val="hybridMultilevel"/>
    <w:tmpl w:val="BC3005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0379">
    <w:abstractNumId w:val="1"/>
  </w:num>
  <w:num w:numId="2" w16cid:durableId="10357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8B"/>
    <w:rsid w:val="00250FD2"/>
    <w:rsid w:val="008A76B5"/>
    <w:rsid w:val="00AD538B"/>
    <w:rsid w:val="00E243A4"/>
    <w:rsid w:val="00E52163"/>
    <w:rsid w:val="00F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3F6A"/>
  <w15:chartTrackingRefBased/>
  <w15:docId w15:val="{883DDB76-B05E-4A04-8ED8-2F8EB8FC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8B"/>
    <w:pPr>
      <w:spacing w:after="200" w:line="276" w:lineRule="auto"/>
      <w:ind w:left="-57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3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8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8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D538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38B"/>
    <w:pPr>
      <w:spacing w:after="0" w:line="240" w:lineRule="auto"/>
      <w:ind w:left="0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3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Rebane</dc:creator>
  <cp:keywords/>
  <dc:description/>
  <cp:lastModifiedBy>Anu Rebane</cp:lastModifiedBy>
  <cp:revision>5</cp:revision>
  <dcterms:created xsi:type="dcterms:W3CDTF">2024-02-19T09:02:00Z</dcterms:created>
  <dcterms:modified xsi:type="dcterms:W3CDTF">2024-03-04T07:12:00Z</dcterms:modified>
</cp:coreProperties>
</file>